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E3" w:rsidRPr="004247E3" w:rsidRDefault="004247E3" w:rsidP="004247E3">
      <w:pPr>
        <w:shd w:val="clear" w:color="auto" w:fill="FFFFFF"/>
        <w:spacing w:after="0" w:line="240" w:lineRule="auto"/>
        <w:jc w:val="both"/>
        <w:rPr>
          <w:rFonts w:ascii="Verdana" w:eastAsia="Times New Roman" w:hAnsi="Verdana" w:cs="Times New Roman"/>
          <w:color w:val="000000"/>
          <w:sz w:val="20"/>
          <w:szCs w:val="20"/>
        </w:rPr>
      </w:pPr>
      <w:r w:rsidRPr="004247E3">
        <w:rPr>
          <w:rFonts w:ascii="Verdana" w:eastAsia="Times New Roman" w:hAnsi="Verdana" w:cs="Times New Roman"/>
          <w:b/>
          <w:bCs/>
          <w:color w:val="000000"/>
          <w:sz w:val="26"/>
        </w:rPr>
        <w:t>ANEXĂ:</w:t>
      </w:r>
      <w:r w:rsidRPr="004247E3">
        <w:rPr>
          <w:rFonts w:ascii="Verdana" w:eastAsia="Times New Roman" w:hAnsi="Verdana" w:cs="Times New Roman"/>
          <w:color w:val="000000"/>
          <w:sz w:val="20"/>
        </w:rPr>
        <w:t> </w:t>
      </w:r>
      <w:r w:rsidRPr="004247E3">
        <w:rPr>
          <w:rFonts w:ascii="Verdana" w:eastAsia="Times New Roman" w:hAnsi="Verdana" w:cs="Times New Roman"/>
          <w:b/>
          <w:bCs/>
          <w:color w:val="000000"/>
          <w:sz w:val="26"/>
        </w:rPr>
        <w:t>CRITERIILE, STANDARDELE ŞI INDICATORII DE PERFORMANŢĂ utilizaţi în acreditarea şi evaluarea periodică a unei şcoli doctorale</w:t>
      </w:r>
    </w:p>
    <w:tbl>
      <w:tblPr>
        <w:tblW w:w="8762" w:type="dxa"/>
        <w:tblCellSpacing w:w="0" w:type="dxa"/>
        <w:tblInd w:w="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7"/>
        <w:gridCol w:w="1314"/>
        <w:gridCol w:w="3067"/>
        <w:gridCol w:w="3154"/>
      </w:tblGrid>
      <w:tr w:rsidR="004247E3" w:rsidRPr="004247E3" w:rsidTr="004247E3">
        <w:trPr>
          <w:tblCellSpacing w:w="0" w:type="dxa"/>
        </w:trPr>
        <w:tc>
          <w:tcPr>
            <w:tcW w:w="7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hideMark/>
          </w:tcPr>
          <w:p w:rsidR="004247E3" w:rsidRPr="004247E3" w:rsidRDefault="004247E3" w:rsidP="004247E3">
            <w:pPr>
              <w:spacing w:after="0" w:line="240" w:lineRule="auto"/>
              <w:jc w:val="center"/>
              <w:rPr>
                <w:rFonts w:ascii="Times New Roman" w:eastAsia="Times New Roman" w:hAnsi="Times New Roman" w:cs="Times New Roman"/>
                <w:color w:val="000000"/>
                <w:sz w:val="16"/>
                <w:szCs w:val="16"/>
              </w:rPr>
            </w:pPr>
            <w:bookmarkStart w:id="0" w:name="do|ax1|pa1"/>
            <w:bookmarkEnd w:id="0"/>
            <w:r w:rsidRPr="004247E3">
              <w:rPr>
                <w:rFonts w:ascii="Times New Roman" w:eastAsia="Times New Roman" w:hAnsi="Times New Roman" w:cs="Times New Roman"/>
                <w:color w:val="000000"/>
                <w:sz w:val="16"/>
                <w:szCs w:val="16"/>
              </w:rPr>
              <w:t>Domenii</w:t>
            </w: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hideMark/>
          </w:tcPr>
          <w:p w:rsidR="004247E3" w:rsidRPr="004247E3" w:rsidRDefault="004247E3" w:rsidP="004247E3">
            <w:pPr>
              <w:spacing w:after="0" w:line="240" w:lineRule="auto"/>
              <w:jc w:val="center"/>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Criterii</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hideMark/>
          </w:tcPr>
          <w:p w:rsidR="004247E3" w:rsidRPr="004247E3" w:rsidRDefault="004247E3" w:rsidP="004247E3">
            <w:pPr>
              <w:spacing w:after="0" w:line="240" w:lineRule="auto"/>
              <w:jc w:val="center"/>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Standarde</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hideMark/>
          </w:tcPr>
          <w:p w:rsidR="004247E3" w:rsidRPr="004247E3" w:rsidRDefault="004247E3" w:rsidP="004247E3">
            <w:pPr>
              <w:spacing w:after="0" w:line="240" w:lineRule="auto"/>
              <w:jc w:val="center"/>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Indicatori de performanţă</w:t>
            </w:r>
          </w:p>
        </w:tc>
      </w:tr>
      <w:tr w:rsidR="004247E3" w:rsidRPr="004247E3" w:rsidTr="004247E3">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A. Capacitatea instituţională</w:t>
            </w:r>
          </w:p>
        </w:tc>
        <w:tc>
          <w:tcPr>
            <w:tcW w:w="750" w:type="pct"/>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1, Structurile instituţionale, administrative şi manageriale</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Respectarea cerinţelor legale în regulamentele IOSUD şi ale şcolii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Implementarea unor bune practici internaţionale în funcţionarea IOSUD şi a şcolii doctorale</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Validitatea şi actualizarea regulamentelor IOSUD şi ale şcolii doctorale; regularitatea convocării structurilor instituţionale la nivelul IOSUD şi al şcolii doctorale</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Existenţa de personal administrativ dedicat pentru gestiunea studiilor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Raportul personal administrativ care se ocupă de gestiunea studiilor doctorale/ nr. studenţi-doctoranzi &gt; 1/20</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Personalul administrativ care se ocupă de gestiunea studiilor doctorale la nivelul şcolii doctorale şi al IOSUD (nr. personal administrativ/nr. studenţi-doctoranzi).</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2. Baza materială şi utilizarea infrastructurii de cercetare</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1. 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Există o bază materială care să asigure derularea activităţilor doctorale, conform reglementărilor naţionale. Există o infrastructură de cercetare care să susţină derularea cercetărilor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2. 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Există o bază materială care să asigure derularea activităţilor doctorale la standarde internaţionale.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Există o infrastructură de cercetare care să susţină derularea cercetărilor doctorale la standarde internaţionale, care este inclusă în baze de date/reţele naţionale şi/sau internaţionale.</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Se va avea în vedere specificul domeniului de doctorat, luând în considerare, după caz, următoarele: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a) birouri/dotări (de exemplu, computere) alocate utilizării de către doctoranzi;</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b) laboratoare/centre de cercetare ştiinţifică/ dotare (specific în funcţie de domeniu);</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c) </w:t>
            </w:r>
            <w:proofErr w:type="gramStart"/>
            <w:r w:rsidRPr="004247E3">
              <w:rPr>
                <w:rFonts w:ascii="Times New Roman" w:eastAsia="Times New Roman" w:hAnsi="Times New Roman" w:cs="Times New Roman"/>
                <w:color w:val="000000"/>
                <w:sz w:val="16"/>
                <w:szCs w:val="16"/>
              </w:rPr>
              <w:t>biblioteci</w:t>
            </w:r>
            <w:proofErr w:type="gramEnd"/>
            <w:r w:rsidRPr="004247E3">
              <w:rPr>
                <w:rFonts w:ascii="Times New Roman" w:eastAsia="Times New Roman" w:hAnsi="Times New Roman" w:cs="Times New Roman"/>
                <w:color w:val="000000"/>
                <w:sz w:val="16"/>
                <w:szCs w:val="16"/>
              </w:rPr>
              <w:t xml:space="preserve"> şi acces la baze de date internaţionale.</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3. Resursele umane şi capacitatea instituţiei de atragere a resurselor umane externe instituţiei şi din afara ţării, în condiţiile legii</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Media aritmetică a mediei punctajelor obţinute de conducătorii de doctorat, conform criteriilor de abilitare CNATDCU, raportată la media naţională a punctajelor conducătorilor de doctorat din domeniul respectiv, şi a mediei indicilor Hirsch ai conducătorilor de doctorat, în baza de date relevantă pentru domeniu, raportată la media naţională a conducătorilor de doctorat din domeniul respectiv, este &gt; 0</w:t>
            </w:r>
            <w:proofErr w:type="gramStart"/>
            <w:r w:rsidRPr="004247E3">
              <w:rPr>
                <w:rFonts w:ascii="Times New Roman" w:eastAsia="Times New Roman" w:hAnsi="Times New Roman" w:cs="Times New Roman"/>
                <w:color w:val="000000"/>
                <w:sz w:val="16"/>
                <w:szCs w:val="16"/>
              </w:rPr>
              <w:t>,50</w:t>
            </w:r>
            <w:proofErr w:type="gramEnd"/>
            <w:r w:rsidRPr="004247E3">
              <w:rPr>
                <w:rFonts w:ascii="Times New Roman" w:eastAsia="Times New Roman" w:hAnsi="Times New Roman" w:cs="Times New Roman"/>
                <w:color w:val="000000"/>
                <w:sz w:val="16"/>
                <w:szCs w:val="16"/>
              </w:rPr>
              <w: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Fiecare dintre cele două medii de mai sus este &gt; 0</w:t>
            </w:r>
            <w:proofErr w:type="gramStart"/>
            <w:r w:rsidRPr="004247E3">
              <w:rPr>
                <w:rFonts w:ascii="Times New Roman" w:eastAsia="Times New Roman" w:hAnsi="Times New Roman" w:cs="Times New Roman"/>
                <w:color w:val="000000"/>
                <w:sz w:val="16"/>
                <w:szCs w:val="16"/>
              </w:rPr>
              <w:t>,40</w:t>
            </w:r>
            <w:proofErr w:type="gramEnd"/>
            <w:r w:rsidRPr="004247E3">
              <w:rPr>
                <w:rFonts w:ascii="Times New Roman" w:eastAsia="Times New Roman" w:hAnsi="Times New Roman" w:cs="Times New Roman"/>
                <w:color w:val="000000"/>
                <w:sz w:val="16"/>
                <w:szCs w:val="16"/>
              </w:rPr>
              <w:t>.</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sz w:val="16"/>
                <w:szCs w:val="16"/>
              </w:rPr>
            </w:pPr>
            <w:r w:rsidRPr="004247E3">
              <w:rPr>
                <w:rFonts w:ascii="Times New Roman" w:eastAsia="Times New Roman" w:hAnsi="Times New Roman" w:cs="Times New Roman"/>
                <w:sz w:val="16"/>
                <w:szCs w:val="16"/>
              </w:rPr>
              <w:t> </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Numărul candidaţilor care s-au prezentat la concursul de admitere la studii universitare de doctorat în anii 2012-2016, prin raportare la numărul de locuri scoase la </w:t>
            </w:r>
            <w:proofErr w:type="gramStart"/>
            <w:r w:rsidRPr="004247E3">
              <w:rPr>
                <w:rFonts w:ascii="Times New Roman" w:eastAsia="Times New Roman" w:hAnsi="Times New Roman" w:cs="Times New Roman"/>
                <w:color w:val="000000"/>
                <w:sz w:val="16"/>
                <w:szCs w:val="16"/>
              </w:rPr>
              <w:t>concurs</w:t>
            </w:r>
            <w:proofErr w:type="gramEnd"/>
            <w:r w:rsidRPr="004247E3">
              <w:rPr>
                <w:rFonts w:ascii="Times New Roman" w:eastAsia="Times New Roman" w:hAnsi="Times New Roman" w:cs="Times New Roman"/>
                <w:color w:val="000000"/>
                <w:sz w:val="16"/>
                <w:szCs w:val="16"/>
              </w:rPr>
              <w:t xml:space="preserve"> în cadrul şcolii doctorale, este &gt; 1.</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candidaţilor care s-au prezentat la concursul de admitere la studii universitare de doctorat în anii 2012-2016, prin raportare la numărul de locuri scoase la concurs în cadrul şcolii doctorale, este &gt; 1</w:t>
            </w:r>
            <w:proofErr w:type="gramStart"/>
            <w:r w:rsidRPr="004247E3">
              <w:rPr>
                <w:rFonts w:ascii="Times New Roman" w:eastAsia="Times New Roman" w:hAnsi="Times New Roman" w:cs="Times New Roman"/>
                <w:color w:val="000000"/>
                <w:sz w:val="16"/>
                <w:szCs w:val="16"/>
              </w:rPr>
              <w:t>,5</w:t>
            </w:r>
            <w:proofErr w:type="gramEnd"/>
            <w:r w:rsidRPr="004247E3">
              <w:rPr>
                <w:rFonts w:ascii="Times New Roman" w:eastAsia="Times New Roman" w:hAnsi="Times New Roman" w:cs="Times New Roman"/>
                <w:color w:val="000000"/>
                <w:sz w:val="16"/>
                <w:szCs w:val="16"/>
              </w:rPr>
              <w: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de persoane din medii sociale dezavantajate înmatriculate la doctorat, raportat la numărul total al studenţilor - doctoranzi înmatriculaţi, este &gt; 0</w:t>
            </w:r>
            <w:proofErr w:type="gramStart"/>
            <w:r w:rsidRPr="004247E3">
              <w:rPr>
                <w:rFonts w:ascii="Times New Roman" w:eastAsia="Times New Roman" w:hAnsi="Times New Roman" w:cs="Times New Roman"/>
                <w:color w:val="000000"/>
                <w:sz w:val="16"/>
                <w:szCs w:val="16"/>
              </w:rPr>
              <w:t>,1</w:t>
            </w:r>
            <w:proofErr w:type="gramEnd"/>
            <w:r w:rsidRPr="004247E3">
              <w:rPr>
                <w:rFonts w:ascii="Times New Roman" w:eastAsia="Times New Roman" w:hAnsi="Times New Roman" w:cs="Times New Roman"/>
                <w:color w:val="000000"/>
                <w:sz w:val="16"/>
                <w:szCs w:val="16"/>
              </w:rPr>
              <w:t>.</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Numărul candidaţilor care s-au prezentat la concursul de admitere la studii universitare de doctorat, prin raportare ia numărul de locuri scoase la concurs în cadrul şcolii doctorale Numărul de persoane din medii sociale dezavantajate înmatriculate la doctorat Numărul de candidaţi provenind din alte instituţii de învăţământ superior din ţară (care au obţinut titlul de maşter la alte instituţii de învăţământ superior din ţară), care se prezintă la concursul de admitere, prin raportare la numărul de locuri scoase la concurs în cadrul şcolii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Numărul de candidaţi internaţionali care se prezintă la concursul de admitere, prin raportare la numărul de locuri scoase la concurs în cadrul şcolii doctorale</w:t>
            </w:r>
          </w:p>
        </w:tc>
      </w:tr>
      <w:tr w:rsidR="004247E3" w:rsidRPr="004247E3" w:rsidTr="004247E3">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sz w:val="16"/>
                <w:szCs w:val="16"/>
              </w:rPr>
            </w:pPr>
            <w:r w:rsidRPr="004247E3">
              <w:rPr>
                <w:rFonts w:ascii="Times New Roman" w:eastAsia="Times New Roman" w:hAnsi="Times New Roman" w:cs="Times New Roman"/>
                <w:sz w:val="16"/>
                <w:szCs w:val="16"/>
              </w:rPr>
              <w:t> </w:t>
            </w: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sz w:val="16"/>
                <w:szCs w:val="16"/>
              </w:rPr>
            </w:pPr>
            <w:r w:rsidRPr="004247E3">
              <w:rPr>
                <w:rFonts w:ascii="Times New Roman" w:eastAsia="Times New Roman" w:hAnsi="Times New Roman" w:cs="Times New Roman"/>
                <w:sz w:val="16"/>
                <w:szCs w:val="16"/>
              </w:rPr>
              <w:t> </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 Media aritmetică a mediei punctajelor obţinute de conducătorii de doctorat, conform </w:t>
            </w:r>
            <w:r w:rsidRPr="004247E3">
              <w:rPr>
                <w:rFonts w:ascii="Times New Roman" w:eastAsia="Times New Roman" w:hAnsi="Times New Roman" w:cs="Times New Roman"/>
                <w:color w:val="000000"/>
                <w:sz w:val="16"/>
                <w:szCs w:val="16"/>
              </w:rPr>
              <w:lastRenderedPageBreak/>
              <w:t>criteriilor de abilitare CNATDCU, raportată la media naţională a punctajelor conducătorilor de doctorat din domeniul respectiv, şi a mediei indicilor Hirsch ai conducătorilor de doctorat, în baza de date relevantă pentru domeniu, raportată la media naţională a conducătorilor de doctorat din domeniul respectiv, este &gt; 0</w:t>
            </w:r>
            <w:proofErr w:type="gramStart"/>
            <w:r w:rsidRPr="004247E3">
              <w:rPr>
                <w:rFonts w:ascii="Times New Roman" w:eastAsia="Times New Roman" w:hAnsi="Times New Roman" w:cs="Times New Roman"/>
                <w:color w:val="000000"/>
                <w:sz w:val="16"/>
                <w:szCs w:val="16"/>
              </w:rPr>
              <w:t>,80</w:t>
            </w:r>
            <w:proofErr w:type="gramEnd"/>
            <w:r w:rsidRPr="004247E3">
              <w:rPr>
                <w:rFonts w:ascii="Times New Roman" w:eastAsia="Times New Roman" w:hAnsi="Times New Roman" w:cs="Times New Roman"/>
                <w:color w:val="000000"/>
                <w:sz w:val="16"/>
                <w:szCs w:val="16"/>
              </w:rPr>
              <w: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Punctajul obţinut de directorul şcolii doctorale, conform standardelor minimale CNATDCU, 1h vederea abilitării, raportat la media naţională a punctajelor conducătorilor de doctorat din domeniul respectiv, este &gt; 1,00.</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sz w:val="16"/>
                <w:szCs w:val="16"/>
              </w:rPr>
            </w:pPr>
            <w:r w:rsidRPr="004247E3">
              <w:rPr>
                <w:rFonts w:ascii="Times New Roman" w:eastAsia="Times New Roman" w:hAnsi="Times New Roman" w:cs="Times New Roman"/>
                <w:sz w:val="16"/>
                <w:szCs w:val="16"/>
              </w:rPr>
              <w:lastRenderedPageBreak/>
              <w:t> </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sz w:val="16"/>
                <w:szCs w:val="16"/>
              </w:rPr>
            </w:pPr>
          </w:p>
        </w:tc>
        <w:tc>
          <w:tcPr>
            <w:tcW w:w="750" w:type="pct"/>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sz w:val="16"/>
                <w:szCs w:val="16"/>
              </w:rPr>
            </w:pPr>
            <w:r w:rsidRPr="004247E3">
              <w:rPr>
                <w:rFonts w:ascii="Times New Roman" w:eastAsia="Times New Roman" w:hAnsi="Times New Roman" w:cs="Times New Roman"/>
                <w:sz w:val="16"/>
                <w:szCs w:val="16"/>
              </w:rPr>
              <w:t> </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Numărul de candidaţi provenind din alte instituţii de învăţământ superior din ţară (care au obţinut titlul de maşter la alte instituţii de învăţământ superior din ţară), care se prezintă la concursul de admitere, prin raportare la numărul de locuri scoase la concurs în cadrul şcolii doctorale, este &gt; 0</w:t>
            </w:r>
            <w:proofErr w:type="gramStart"/>
            <w:r w:rsidRPr="004247E3">
              <w:rPr>
                <w:rFonts w:ascii="Times New Roman" w:eastAsia="Times New Roman" w:hAnsi="Times New Roman" w:cs="Times New Roman"/>
                <w:color w:val="000000"/>
                <w:sz w:val="16"/>
                <w:szCs w:val="16"/>
              </w:rPr>
              <w:t>,25</w:t>
            </w:r>
            <w:proofErr w:type="gramEnd"/>
            <w:r w:rsidRPr="004247E3">
              <w:rPr>
                <w:rFonts w:ascii="Times New Roman" w:eastAsia="Times New Roman" w:hAnsi="Times New Roman" w:cs="Times New Roman"/>
                <w:color w:val="000000"/>
                <w:sz w:val="16"/>
                <w:szCs w:val="16"/>
              </w:rPr>
              <w: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de candidaţi internaţionali care se prezintă la concursul de admitere, prin raportare la numărul de locuri scoase la concurs în cadrul şcolii doctorale, este &gt; 0</w:t>
            </w:r>
            <w:proofErr w:type="gramStart"/>
            <w:r w:rsidRPr="004247E3">
              <w:rPr>
                <w:rFonts w:ascii="Times New Roman" w:eastAsia="Times New Roman" w:hAnsi="Times New Roman" w:cs="Times New Roman"/>
                <w:color w:val="000000"/>
                <w:sz w:val="16"/>
                <w:szCs w:val="16"/>
              </w:rPr>
              <w:t>,1</w:t>
            </w:r>
            <w:proofErr w:type="gramEnd"/>
            <w:r w:rsidRPr="004247E3">
              <w:rPr>
                <w:rFonts w:ascii="Times New Roman" w:eastAsia="Times New Roman" w:hAnsi="Times New Roman" w:cs="Times New Roman"/>
                <w:color w:val="000000"/>
                <w:sz w:val="16"/>
                <w:szCs w:val="16"/>
              </w:rPr>
              <w: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studenţilor-doctoranzi şi al cercetătorilor postdoctorali, angajaţi în proiecte de cercetare obţinute prin competiţii naţionale, internaţionale sau cu mediul de afaceri, raportat la numărul total al studenţilor- doctoranzi şi al cercetătorilor postdoctorali din cadrul şcolii doctorale, este &gt; 0,5.</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Numărul studenţilor-doctoranzi şi al cercetătorilor postdoctorali, angajaţi în proiecte de cercetare obţinute prin competiţii naţionale, internaţionale sau cu mediul de afaceri, raportat la numărul total al studenţilor - doctoranzi şi al cercetătorilor postdoctorali din cadrul şcolii doctorale</w:t>
            </w:r>
          </w:p>
        </w:tc>
      </w:tr>
      <w:tr w:rsidR="004247E3" w:rsidRPr="004247E3" w:rsidTr="004247E3">
        <w:trPr>
          <w:trHeight w:val="55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sz w:val="16"/>
                <w:szCs w:val="16"/>
              </w:rPr>
            </w:pP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Existenţa în perioada de referinţă (anii 2012- 2016) a cel puţin unui exemplu de doctorat în cotutelă finalizat sau a unui specialist afiliat instituţional în afara ţării care a fost membru într-o comisie de susţinere a tezei de doctorat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de doctorate în cotutelă finalizate, raportat la numărul total de doctorate finalizate, este &gt; 0</w:t>
            </w:r>
            <w:proofErr w:type="gramStart"/>
            <w:r w:rsidRPr="004247E3">
              <w:rPr>
                <w:rFonts w:ascii="Times New Roman" w:eastAsia="Times New Roman" w:hAnsi="Times New Roman" w:cs="Times New Roman"/>
                <w:color w:val="000000"/>
                <w:sz w:val="16"/>
                <w:szCs w:val="16"/>
              </w:rPr>
              <w:t>,1</w:t>
            </w:r>
            <w:proofErr w:type="gramEnd"/>
            <w:r w:rsidRPr="004247E3">
              <w:rPr>
                <w:rFonts w:ascii="Times New Roman" w:eastAsia="Times New Roman" w:hAnsi="Times New Roman" w:cs="Times New Roman"/>
                <w:color w:val="000000"/>
                <w:sz w:val="16"/>
                <w:szCs w:val="16"/>
              </w:rPr>
              <w: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specialiştilor afiliaţi instituţional în afara ţării care au fost membri în comisii de susţinere şi în comisii de îndrumare, raportat la numărul total al specialiştilor care au fost membri în comisii de susţinere şi în comisii de îndrumare, este &gt; 0</w:t>
            </w:r>
            <w:proofErr w:type="gramStart"/>
            <w:r w:rsidRPr="004247E3">
              <w:rPr>
                <w:rFonts w:ascii="Times New Roman" w:eastAsia="Times New Roman" w:hAnsi="Times New Roman" w:cs="Times New Roman"/>
                <w:color w:val="000000"/>
                <w:sz w:val="16"/>
                <w:szCs w:val="16"/>
              </w:rPr>
              <w:t>,1</w:t>
            </w:r>
            <w:proofErr w:type="gramEnd"/>
            <w:r w:rsidRPr="004247E3">
              <w:rPr>
                <w:rFonts w:ascii="Times New Roman" w:eastAsia="Times New Roman" w:hAnsi="Times New Roman" w:cs="Times New Roman"/>
                <w:color w:val="000000"/>
                <w:sz w:val="16"/>
                <w:szCs w:val="16"/>
              </w:rPr>
              <w:t>.</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Atragerea în activitatea de îndrumare şi evaluare a studenţilor-doctoranzi a unor resurse umane din străinătate, luând în considerare: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de doctorate în cotutelă finalizate;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 </w:t>
            </w:r>
            <w:proofErr w:type="gramStart"/>
            <w:r w:rsidRPr="004247E3">
              <w:rPr>
                <w:rFonts w:ascii="Times New Roman" w:eastAsia="Times New Roman" w:hAnsi="Times New Roman" w:cs="Times New Roman"/>
                <w:color w:val="000000"/>
                <w:sz w:val="16"/>
                <w:szCs w:val="16"/>
              </w:rPr>
              <w:t>numărul</w:t>
            </w:r>
            <w:proofErr w:type="gramEnd"/>
            <w:r w:rsidRPr="004247E3">
              <w:rPr>
                <w:rFonts w:ascii="Times New Roman" w:eastAsia="Times New Roman" w:hAnsi="Times New Roman" w:cs="Times New Roman"/>
                <w:color w:val="000000"/>
                <w:sz w:val="16"/>
                <w:szCs w:val="16"/>
              </w:rPr>
              <w:t xml:space="preserve"> specialiştilor afiliaţi instituţional în afara ţării care au fost membri în comisii de susţinere şi/sau în comisii de îndrumare.</w:t>
            </w:r>
          </w:p>
        </w:tc>
      </w:tr>
      <w:tr w:rsidR="004247E3" w:rsidRPr="004247E3" w:rsidTr="004247E3">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B. Eficacitatea educaţională</w:t>
            </w: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4. Conţinutul programului de studii</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Planul de învăţământ atestă preocuparea de a asigura adecvarea programului de studiu şi a planurilor de studii individuale la obiectivele generale ale studiilor doctorale, la specificul domeniului de studii, în conformitate cu </w:t>
            </w:r>
            <w:r w:rsidRPr="004247E3">
              <w:rPr>
                <w:rFonts w:ascii="Times New Roman" w:eastAsia="Times New Roman" w:hAnsi="Times New Roman" w:cs="Times New Roman"/>
                <w:color w:val="000000"/>
                <w:sz w:val="16"/>
                <w:szCs w:val="16"/>
              </w:rPr>
              <w:lastRenderedPageBreak/>
              <w:t>bunele practici naţionale, şi la particularităţile temei tezei de doctorat.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Oferta de formare cuprinde cel puţin două componente dedicate unora dintre competenţele transversale.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Prezenţa în regulamentul şcolii doctorale a descrierii operaţionale şi cuantificabile a modului de adecvare a programului de studiu şi a planurilor de studii individuale la obiectivele generale ale studiilor doctorale, la specificul domeniului de studii, în conformitate cu bunele practici internaţionale, şi la particularităţile temei tezei de doctorat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Oferta de formare cuprinde componente dedicate pentru etica cercetării, scientometrie şi redactare academică (academic writing).</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Prezenţa ofertei suplimentare de pregătire doctorală în context internaţional (de exemplu, şcoli de vară, conferinţe ale doctoranzilor, seminare, workshopuri etc.)</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Derularea în cadrul şcolii doctorale a unor programe postdoctorale, cu reglementări şi indicatori de performanţă specifici</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lastRenderedPageBreak/>
              <w:t xml:space="preserve">Prezenţa în regulamentul şcolii doctorale a descrierii operaţionale şi cuantificabile a modului de adecvare a programului de studiu şi a planurilor de studii individuale la obiectivele generale ale studiilor doctorale, la specificul domeniului de studii, în conformitate cu bunele </w:t>
            </w:r>
            <w:r w:rsidRPr="004247E3">
              <w:rPr>
                <w:rFonts w:ascii="Times New Roman" w:eastAsia="Times New Roman" w:hAnsi="Times New Roman" w:cs="Times New Roman"/>
                <w:color w:val="000000"/>
                <w:sz w:val="16"/>
                <w:szCs w:val="16"/>
              </w:rPr>
              <w:lastRenderedPageBreak/>
              <w:t>practici naţionale, şi la particularităţile temei tezei de doctorat. Prezenţa ofertei de formare pentru competenţele transversale, incluzând aspecte legate de etica cercetării, scientometrie şi scriere academică.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Existenţa ofertei suplimentare de pregătire doctorală (de exemplu, şcoli de vară, conferinţe ale doctoranzilor, seminare, ateliere etc.).</w:t>
            </w:r>
          </w:p>
        </w:tc>
      </w:tr>
      <w:tr w:rsidR="004247E3" w:rsidRPr="004247E3" w:rsidTr="004247E3">
        <w:trPr>
          <w:trHeight w:val="12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5. Rezultatele învăţării şi activitatea de cercetare ştiinţifică</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Numărul tezelor de doctorat care în urma evaluării au fost încadrate la categoriile "nivel ştiinţific modest" sau "nonvaloare ştiinţifică" este &lt; 2.</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Şcoala doctorală a definit standarde minimale de calitate şi standarde de excelenţă pentru tezele de doctorat, pe care le operaţionalizează sistematic şi public, respectând cerinţa ca cel mult 15% dintre teze să primească calificativul maxim</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tezelor de doctorat redactate în limbi de circulaţie internaţională, raportat la numărul total de teze de doctorat susţinute, este &gt; 0</w:t>
            </w:r>
            <w:proofErr w:type="gramStart"/>
            <w:r w:rsidRPr="004247E3">
              <w:rPr>
                <w:rFonts w:ascii="Times New Roman" w:eastAsia="Times New Roman" w:hAnsi="Times New Roman" w:cs="Times New Roman"/>
                <w:color w:val="000000"/>
                <w:sz w:val="16"/>
                <w:szCs w:val="16"/>
              </w:rPr>
              <w:t>,25</w:t>
            </w:r>
            <w:proofErr w:type="gramEnd"/>
            <w:r w:rsidRPr="004247E3">
              <w:rPr>
                <w:rFonts w:ascii="Times New Roman" w:eastAsia="Times New Roman" w:hAnsi="Times New Roman" w:cs="Times New Roman"/>
                <w:color w:val="000000"/>
                <w:sz w:val="16"/>
                <w:szCs w:val="16"/>
              </w:rPr>
              <w: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tezelor de doctorat respinse de către CNATDCU este 0.</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tezelor de doctorat care în urma evaluării sunt încadrate la categoria "nonvaloare ştiinţifică" este 0.</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tezelor de doctorat care în urma evaluării sunt încadrate la categoria "nivel ştiinţific modest", raportat la numărul total de teze susţinute, este &lt; 0</w:t>
            </w:r>
            <w:proofErr w:type="gramStart"/>
            <w:r w:rsidRPr="004247E3">
              <w:rPr>
                <w:rFonts w:ascii="Times New Roman" w:eastAsia="Times New Roman" w:hAnsi="Times New Roman" w:cs="Times New Roman"/>
                <w:color w:val="000000"/>
                <w:sz w:val="16"/>
                <w:szCs w:val="16"/>
              </w:rPr>
              <w:t>,2</w:t>
            </w:r>
            <w:proofErr w:type="gramEnd"/>
            <w:r w:rsidRPr="004247E3">
              <w:rPr>
                <w:rFonts w:ascii="Times New Roman" w:eastAsia="Times New Roman" w:hAnsi="Times New Roman" w:cs="Times New Roman"/>
                <w:color w:val="000000"/>
                <w:sz w:val="16"/>
                <w:szCs w:val="16"/>
              </w:rPr>
              <w: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tezelor de doctorat care în urma evaluării sunt încadrate la categoriile "nivel ştiinţific de vârf" sau "nivel ştiinţific ridicat", raportat la numărul total de teze susţinute, este &gt; 0,2.</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Calitatea tezelor de doctorat susţinute în ultimii 5 ani (se vor evalua 3 teze pentru şcolile doctorale care în domeniul de referinţă au avut mai puţin de 20 de teze de doctorat susţinute, 4 teze pentru şcolile doctorale care în domeniul de referinţă au avut 20-100 de teze de doctorat susţinute, şi 5 teze pentru şcolile doctorale care în domeniul de referinţă au avut mai mult de 100 de teze de doctorat susţinute). Evaluarea va clasifica tezele conform următoarei grile: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1. nivel ştiinţific de vârf - teza aduce contribuţii originale majore la cunoaşterea ştiinţifică, atât în plan empiric, cât şi în planul testării şi perfecţionării modelelor teoretice şi bazelor metodologice ale disciplinei,</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2. nivel ştiinţific ridicat - teza aduce contribuţii ştiinţifice semnificative, fie prin îmbogăţirea consistentă a bazei documentare/informaţionale, fie prin aplicarea/testarea explicită a unor noi metode şi modele de cercetare, fie prin înnoirea majoră a interpretării fenomenelor studiate, fie prin sintetizarea şi sistematizarea unor segmente ample ale cunoaşterii</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3. nivel ştiinţific bun - teza aduce contribuţii punctuale la amplificarea cunoaşterii ştiinţifice, raportând totodată aportul propriu la rezolvarea unor probleme cognitive dezbătute în literatura de specialitate din ţară şi din străinătate;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4. nivel ştiinţific modest - teza aduce contribuţii' punctuale la amplificarea cunoaşterii ştiinţifice, fie în plan empiric, fie în plan interpretativ;</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5. </w:t>
            </w:r>
            <w:proofErr w:type="gramStart"/>
            <w:r w:rsidRPr="004247E3">
              <w:rPr>
                <w:rFonts w:ascii="Times New Roman" w:eastAsia="Times New Roman" w:hAnsi="Times New Roman" w:cs="Times New Roman"/>
                <w:color w:val="000000"/>
                <w:sz w:val="16"/>
                <w:szCs w:val="16"/>
              </w:rPr>
              <w:t>nonvaloare</w:t>
            </w:r>
            <w:proofErr w:type="gramEnd"/>
            <w:r w:rsidRPr="004247E3">
              <w:rPr>
                <w:rFonts w:ascii="Times New Roman" w:eastAsia="Times New Roman" w:hAnsi="Times New Roman" w:cs="Times New Roman"/>
                <w:color w:val="000000"/>
                <w:sz w:val="16"/>
                <w:szCs w:val="16"/>
              </w:rPr>
              <w:t xml:space="preserve"> ştiinţifică - teza nu contribuie cu nimic la progresul cunoaşterii ştiinţifice.</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sz w:val="16"/>
                <w:szCs w:val="16"/>
              </w:rPr>
            </w:pPr>
            <w:r w:rsidRPr="004247E3">
              <w:rPr>
                <w:rFonts w:ascii="Times New Roman" w:eastAsia="Times New Roman" w:hAnsi="Times New Roman" w:cs="Times New Roman"/>
                <w:sz w:val="16"/>
                <w:szCs w:val="16"/>
              </w:rPr>
              <w:t> </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Teza evaluată este încadrată la una dintre </w:t>
            </w:r>
            <w:r w:rsidRPr="004247E3">
              <w:rPr>
                <w:rFonts w:ascii="Times New Roman" w:eastAsia="Times New Roman" w:hAnsi="Times New Roman" w:cs="Times New Roman"/>
                <w:color w:val="000000"/>
                <w:sz w:val="16"/>
                <w:szCs w:val="16"/>
              </w:rPr>
              <w:lastRenderedPageBreak/>
              <w:t>categoriile "nivel ştiinţific de vârf", "nivel ştiinpc ridicat" sau "nivel ştiinţific bun".</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Teza evaluată este încadrată la una dintre categoriile "nivel ştiinţific de vârf sau "nivel ştiinţific ridicat".</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lastRenderedPageBreak/>
              <w:t xml:space="preserve">Nivelul maxim de performanţă ştiinţifică a unei teze de doctorat susţinute în ultimii 5 ani. </w:t>
            </w:r>
            <w:r w:rsidRPr="004247E3">
              <w:rPr>
                <w:rFonts w:ascii="Times New Roman" w:eastAsia="Times New Roman" w:hAnsi="Times New Roman" w:cs="Times New Roman"/>
                <w:color w:val="000000"/>
                <w:sz w:val="16"/>
                <w:szCs w:val="16"/>
              </w:rPr>
              <w:lastRenderedPageBreak/>
              <w:t>Evaluarea va clasifica teza selectată de şcoala doctorală evaluată, luând în</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proofErr w:type="gramStart"/>
            <w:r w:rsidRPr="004247E3">
              <w:rPr>
                <w:rFonts w:ascii="Times New Roman" w:eastAsia="Times New Roman" w:hAnsi="Times New Roman" w:cs="Times New Roman"/>
                <w:color w:val="000000"/>
                <w:sz w:val="16"/>
                <w:szCs w:val="16"/>
              </w:rPr>
              <w:t>considerare</w:t>
            </w:r>
            <w:proofErr w:type="gramEnd"/>
            <w:r w:rsidRPr="004247E3">
              <w:rPr>
                <w:rFonts w:ascii="Times New Roman" w:eastAsia="Times New Roman" w:hAnsi="Times New Roman" w:cs="Times New Roman"/>
                <w:color w:val="000000"/>
                <w:sz w:val="16"/>
                <w:szCs w:val="16"/>
              </w:rPr>
              <w:t xml:space="preserve"> şi publicaţiile ulterioare care au la bază teza de doctorat, conform criteriilor din grila de evaluare de mai sus.</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sz w:val="16"/>
                <w:szCs w:val="16"/>
              </w:rPr>
            </w:pPr>
            <w:r w:rsidRPr="004247E3">
              <w:rPr>
                <w:rFonts w:ascii="Times New Roman" w:eastAsia="Times New Roman" w:hAnsi="Times New Roman" w:cs="Times New Roman"/>
                <w:sz w:val="16"/>
                <w:szCs w:val="16"/>
              </w:rPr>
              <w:t> </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Numărul mediu al publicaţiilor studenţilor - doctoranzi în reviste cuprinse în baze de date internaţionale relevante domeniului sau în volume de autor sau colective» publicate la edituri recunoscute la nivel naţional, este &gt; 1.</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Standarde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mediu al publicaţiilor studenţilor - doctoranzi în reviste cu impact ştiinţific ridicat (indexate Web of Sctence/Scopus/ERIH-Plus sau alte baze de date internaţionale relevante domeniului şi/sau situate în zona roşie şi galbenă în conformitate cu metodologia de clasificare a revistelor elaborată de CNCS) şi/sau volume de autor sau colective la edituri de prestigiu relevante naţional sau internaţional, este &gt; 1</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mediu al celorlalte rezultate ale cercetării ştiinţifice relevante domeniului (de exemplu, brevete/patente naţionale şi/sau internaţionale; produse şi servicii inovative către comunitate, inclusiv produsele cultural - artistice şi performanţele sportive) realizate de studenţii-doctoranzi, este &gt; 1.</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Contribuţia la demersuri de cercetare programatice şi/sau integrate în reţele academice internaţionale este &gt; 3.</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Fiecare şcoală doctorală prezintă maximum 10 contribuţii ştiinţifice de top ale membrilor şcolii doctorale, din ultimii 5 ani, realizate împreună cu doctoranzii, prin care şcoala se consideră un actor competitiv la nivel internaţional.</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Cunoaşterea ştiinţifică generată în cadrul şcolii doctorale în ultimii 5 ani se va evalua prin raportare la specificul domeniului de doctorat, luându-se în considerare, după caz, următoarele: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publicaţiile studenţilor-doctoranzi în reviste relevante domeniului şi/sau volume de autor sau colective;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alte rezultate ale cercetării ştiinţifice relevante domeniului (de exemplu, brevete/patente naţionale; produse şi servicii către comunitate, inclusiv produsele cultural - artistice şi performanţele sportive);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contribuţia la demersuri de cercetare programatice şi/sau integrate în reţele academice naţionale sau internaţionale;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contribuţiile ştiinţifice de top ale membrilor şcolii doctorale, din ultimii 5 ani, realizate împreună cu doctoranzii, prin care şcoala se consideră un actor competitiv la nivel internaţional. Se va pune accent pe contribuţii în care autorii de concepţie/principali sunt din cadrul şcolii doctorale. Un plus poate fi adus aici de publicaţii de top (de exemplu, Nature/Science/Top-10 în domeniu după scorul relativ de influenţă, Hot papers, Higly cited papers etc), premii naţionale şi internaţionale de prestigiu (de exemplu, premii ale unor universităţi de top şi/sau organizaţii profesionale internaţionale de referinţă în domeniu) şi/sau recunoaşteri academice internaţionale de prestigiu (de exemplu, highly cited researchers).</w:t>
            </w:r>
          </w:p>
        </w:tc>
      </w:tr>
      <w:tr w:rsidR="004247E3" w:rsidRPr="004247E3" w:rsidTr="004247E3">
        <w:trPr>
          <w:trHeight w:val="57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6. Angajabilitatea</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absolvenţilor studiilor doctorale din ultimii 10 ani care au fost angajaţi în mediul academic sau socioeconomic internaţional cel puţin 12 luni este&gt; 1.</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de doctori, absolvenţi ai domeniului de studii doctorale, angajaţi în mediul academic sau socioeconomic local/regional, raportat la numărul de doctori absolvenţi care erau deja angajaţi în momentul înmatriculării la studiile doctorale, este &gt; 1,5. Numărul de doctori, absolvenţi ai domeniului de studii doctorale, angajaţi în mediul academic sau socioeconomic internaţional, raportat la numărul total de absolvenţi, este &gt; 0</w:t>
            </w:r>
            <w:proofErr w:type="gramStart"/>
            <w:r w:rsidRPr="004247E3">
              <w:rPr>
                <w:rFonts w:ascii="Times New Roman" w:eastAsia="Times New Roman" w:hAnsi="Times New Roman" w:cs="Times New Roman"/>
                <w:color w:val="000000"/>
                <w:sz w:val="16"/>
                <w:szCs w:val="16"/>
              </w:rPr>
              <w:t>,2</w:t>
            </w:r>
            <w:proofErr w:type="gramEnd"/>
            <w:r w:rsidRPr="004247E3">
              <w:rPr>
                <w:rFonts w:ascii="Times New Roman" w:eastAsia="Times New Roman" w:hAnsi="Times New Roman" w:cs="Times New Roman"/>
                <w:color w:val="000000"/>
                <w:sz w:val="16"/>
                <w:szCs w:val="16"/>
              </w:rPr>
              <w:t>.</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indicatori 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Performanţele maxime de carieră a 3 absolvenţi ai studiilor doctorale din ultimii 10 ani</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de doctori, absolvenţi ai domeniului de studii doctorale, angajaţi în mediul academic sau socioeconomic, la 1 an după obţinerea titlului, raportat la numărul de doctori absolvenţi care erau deja angajaţi în momentul înmatriculării la studiile doctorale</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7. Activitatea financiară a organizaţiei</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Existenţa, la nivelul IOSUD şi/sau al şcolii doctorale, a unor reglementări specifice privind utilizarea fondurilor dedicate studiilor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Fondurile alocate din venituri extrabugetare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w:t>
            </w:r>
            <w:proofErr w:type="gramStart"/>
            <w:r w:rsidRPr="004247E3">
              <w:rPr>
                <w:rFonts w:ascii="Times New Roman" w:eastAsia="Times New Roman" w:hAnsi="Times New Roman" w:cs="Times New Roman"/>
                <w:color w:val="000000"/>
                <w:sz w:val="16"/>
                <w:szCs w:val="16"/>
              </w:rPr>
              <w:t>de</w:t>
            </w:r>
            <w:proofErr w:type="gramEnd"/>
            <w:r w:rsidRPr="004247E3">
              <w:rPr>
                <w:rFonts w:ascii="Times New Roman" w:eastAsia="Times New Roman" w:hAnsi="Times New Roman" w:cs="Times New Roman"/>
                <w:color w:val="000000"/>
                <w:sz w:val="16"/>
                <w:szCs w:val="16"/>
              </w:rPr>
              <w:t xml:space="preserve"> exemplu, proiecte cercetare) pentru programul doctoral şi postdoctoral, raportate la valoarea granturilor doctorale alocate de la buget, sunt &gt;0,5.</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Şcoala doctorală alocă fonduri pentru stimularea/premierea performanţelor ştiinţifice ale studenţilor-doctoranzi şi cercetătorilor postdoctorali.</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Existenţa, la nivel de IOSUD şi/sau al şcolii doctorale, a unor reglementări specifice privind utilizarea fondurilor dedicate studiilor doctorale, care permit realizarea unor analize referitoare la utilizarea fondurilor obţinute de la buget prin granturile doctorale, din surse proprii sau din alte surse de finanţare (cheltuieli pentru salarizarea conducătorului de doctorat: cheltuieli pentru salarizarea membrilor comisiei de îndrumare; cheltuieli pentru programul de pregătire bazat pe studii avansate; cheltuieli pentru programul de pregătire suplimentar; cheltuieli pentru activitatea de cercetare a studenţilor - doctoranzi).</w:t>
            </w:r>
          </w:p>
        </w:tc>
      </w:tr>
      <w:tr w:rsidR="004247E3" w:rsidRPr="004247E3" w:rsidTr="004247E3">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C. Managementul calităţii</w:t>
            </w: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8. Strategii şi proceduri pentru asigurarea calităţii</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Documentele relevante au fost adoptate şi/sau actualizate conform cadrului normativ în vigoare.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Reglementările descrise la nivelul standardului sunt supuse unui control al calităţii şi sunt integrate cu practici internaţionale de referinţă pentru domeniu.</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Existenţa actualizată a documentelor relevante pentru următoarele aspecte: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misiunea şi obiectivele şcolii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strategia pe termen mediu şi lung;</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deliberările şi deciziile consiliului şcolii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rezolvarea solicitărilor studenţilor - doctoranzi;</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rapoarte de calitate;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 </w:t>
            </w:r>
            <w:proofErr w:type="gramStart"/>
            <w:r w:rsidRPr="004247E3">
              <w:rPr>
                <w:rFonts w:ascii="Times New Roman" w:eastAsia="Times New Roman" w:hAnsi="Times New Roman" w:cs="Times New Roman"/>
                <w:color w:val="000000"/>
                <w:sz w:val="16"/>
                <w:szCs w:val="16"/>
              </w:rPr>
              <w:t>proceduri</w:t>
            </w:r>
            <w:proofErr w:type="gramEnd"/>
            <w:r w:rsidRPr="004247E3">
              <w:rPr>
                <w:rFonts w:ascii="Times New Roman" w:eastAsia="Times New Roman" w:hAnsi="Times New Roman" w:cs="Times New Roman"/>
                <w:color w:val="000000"/>
                <w:sz w:val="16"/>
                <w:szCs w:val="16"/>
              </w:rPr>
              <w:t xml:space="preserve"> de prevenire a fraudei academice şi de rezolvare a situaţiilor de încălcare a eticii universitare, inclusiv pentru prevenirea şi controlul fraudelor majore, legate de plagiat şi fabricarea datelor.</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9. Proceduri privind iniţierea, monitorizarea şi revizuirea periodică a programelor şi activităţilor desfăşurate</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Existenţa unor proceduri privind colectarea sistematică a feedback-ului din partea studenţilor-doctoranzi</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Existenţa documentelor relevante pentru revizuirea programului de pregătire bazată pe studii universitare avansate în ultimii 5 ani</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lastRenderedPageBreak/>
              <w:t>- Existenţa şi funcţionalitatea mecanismelor de colectare a feedbackului extern, cu accent pe cel internaţional</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lastRenderedPageBreak/>
              <w:t>Existenţa şi funcţionalitatea mecanismelor de colectare a feedbackului din partea tuturor părţilor implicate: conducători de doctorat, studenţi doctoranzi şi alt personal academic şi administrativ implicat în şcoala doctorală</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10. Proceduri obiective şi transparente de evaluare a rezultatelor învăţării (pregătirii doctorale)</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Există proceduri obiective şi transparente de evaluare a rezultatelor învăţării (pregătirii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Numărul iregularităţilor în documentarea parcurgerii programului de studii de doctorat de către fiecare student-doctorand, inclusiv în ceea ce priveşte transparenţa informaţiilor referitoare la susţinerea publică a tezelor de doctorat, este 0.</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Procedurile reglementează: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a) documentele care atestă parcurgerea programului de studii de doctorat de către fiecare student-doctorand;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b) raportările referitoare la publicaţiile şi participările la manifestări ştiinţifice ale studenţilor-doctoranzi, inclusiv respectarea cerinţelor de includere a afilierii instituţionale la şcoala doctorală;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c) </w:t>
            </w:r>
            <w:proofErr w:type="gramStart"/>
            <w:r w:rsidRPr="004247E3">
              <w:rPr>
                <w:rFonts w:ascii="Times New Roman" w:eastAsia="Times New Roman" w:hAnsi="Times New Roman" w:cs="Times New Roman"/>
                <w:color w:val="000000"/>
                <w:sz w:val="16"/>
                <w:szCs w:val="16"/>
              </w:rPr>
              <w:t>transparenţa</w:t>
            </w:r>
            <w:proofErr w:type="gramEnd"/>
            <w:r w:rsidRPr="004247E3">
              <w:rPr>
                <w:rFonts w:ascii="Times New Roman" w:eastAsia="Times New Roman" w:hAnsi="Times New Roman" w:cs="Times New Roman"/>
                <w:color w:val="000000"/>
                <w:sz w:val="16"/>
                <w:szCs w:val="16"/>
              </w:rPr>
              <w:t xml:space="preserve"> informaţiilor referitoare la susţinerea publică a tezelor de doctorat.</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 Raportările referitoare la publicaţiile şi participările la manifestări ştiinţifice ale studenţilor - doctoranzi, inclusiv respectarea cerinţelor de includere </w:t>
            </w:r>
            <w:proofErr w:type="gramStart"/>
            <w:r w:rsidRPr="004247E3">
              <w:rPr>
                <w:rFonts w:ascii="Times New Roman" w:eastAsia="Times New Roman" w:hAnsi="Times New Roman" w:cs="Times New Roman"/>
                <w:color w:val="000000"/>
                <w:sz w:val="16"/>
                <w:szCs w:val="16"/>
              </w:rPr>
              <w:t>a</w:t>
            </w:r>
            <w:proofErr w:type="gramEnd"/>
            <w:r w:rsidRPr="004247E3">
              <w:rPr>
                <w:rFonts w:ascii="Times New Roman" w:eastAsia="Times New Roman" w:hAnsi="Times New Roman" w:cs="Times New Roman"/>
                <w:color w:val="000000"/>
                <w:sz w:val="16"/>
                <w:szCs w:val="16"/>
              </w:rPr>
              <w:t xml:space="preserve"> afilierii instituţionale la şcoala doctorală, sunt actualizate periodic şi complete.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Procedurile obiective şi transparente de evaluare a rezultatelor învăţării (pregătirii doctorale) au fost evaluate extern în ultimii 3 ani.</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sz w:val="16"/>
                <w:szCs w:val="16"/>
              </w:rPr>
            </w:pPr>
            <w:r w:rsidRPr="004247E3">
              <w:rPr>
                <w:rFonts w:ascii="Times New Roman" w:eastAsia="Times New Roman" w:hAnsi="Times New Roman" w:cs="Times New Roman"/>
                <w:sz w:val="16"/>
                <w:szCs w:val="16"/>
              </w:rPr>
              <w:t> </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11. Proceduri de evaluare periodică a calităţii corpului profesoral</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Au fost adoptate standarde minimale de performanţă ştiinţifică pe care trebuie să le îndeplinească conducătorii de doctorat pentru a putea deveni membri ai şcolii doctorale respective.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Standardele minimale de performanţă ştiinţifică au fost aplicate în ultimii 5 ani pentru evaluarea calităţii conducătorilor de doctorat din cadrul şcolii doctorale, precum şi a altor specialişti afiliaţi şcolii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Procedurile de evaluare periodică a calităţii corpului profesoral sunt evaluate extern.</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Existenţa procedurilor este reflectată prin:</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a) existenţa unor standarde minimale de performanţă ştiinţifică pentru conducătorii de doctorat;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b) </w:t>
            </w:r>
            <w:proofErr w:type="gramStart"/>
            <w:r w:rsidRPr="004247E3">
              <w:rPr>
                <w:rFonts w:ascii="Times New Roman" w:eastAsia="Times New Roman" w:hAnsi="Times New Roman" w:cs="Times New Roman"/>
                <w:color w:val="000000"/>
                <w:sz w:val="16"/>
                <w:szCs w:val="16"/>
              </w:rPr>
              <w:t>analiza</w:t>
            </w:r>
            <w:proofErr w:type="gramEnd"/>
            <w:r w:rsidRPr="004247E3">
              <w:rPr>
                <w:rFonts w:ascii="Times New Roman" w:eastAsia="Times New Roman" w:hAnsi="Times New Roman" w:cs="Times New Roman"/>
                <w:color w:val="000000"/>
                <w:sz w:val="16"/>
                <w:szCs w:val="16"/>
              </w:rPr>
              <w:t xml:space="preserve"> modului de aplicare a ultimei evaluări a calităţii corpului profesoral din cadrul şcolii doctorale.</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12. Accesibilitatea resurselor adecvate învăţării</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IOSUD asigură tuturor studenţilor-doctoranzi acces gratuit la un set de baze de date academice relevante echivalent cel puţin cu oferta din cadrul programului Anelis Plus.</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IOSUD asigură tuturor studenţilor-doctoranzi acces gratuit la laboratoarele de cercetare ştiinţifică din cadrul său, conform unei planificări rezonabile a activităţii</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Fondurile bibliotecii se îmbogăţesc anual cu cel puţin un volum de specialitate publicat de edituri internaţionale de prestigiu/student - doctorand.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IOSUD asigură tuturor studenţilor-doctoranzi acces gratuit la un set de baze de date academice avansate specifice domeniului şi/sau în regim full text.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IOSUD asigură tuturor studenţilor-doctoranzi acces gratuit la laboratoare de specialitate dotate la nivelul standardelor internaţionale avansate din domeniu.</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IOSUD afocă fiecărui student-doctorand susţinere financiară pentru participarea la o conferinţă ştiinţifică sau pentru o altă formă de mobilitate ştiinţifică internaţională.</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Se va avea în vedere specificul domeniului de doctorat, luând în considerare, după caz, următoarele: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a) accesul studenţilor doctoranzi la bazele de date academice relevante;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b) biblioteci şi laboratoare de cercetare ştiinţifică/dotare (specific în funcţie de domeniu);</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c) </w:t>
            </w:r>
            <w:proofErr w:type="gramStart"/>
            <w:r w:rsidRPr="004247E3">
              <w:rPr>
                <w:rFonts w:ascii="Times New Roman" w:eastAsia="Times New Roman" w:hAnsi="Times New Roman" w:cs="Times New Roman"/>
                <w:color w:val="000000"/>
                <w:sz w:val="16"/>
                <w:szCs w:val="16"/>
              </w:rPr>
              <w:t>fonduri</w:t>
            </w:r>
            <w:proofErr w:type="gramEnd"/>
            <w:r w:rsidRPr="004247E3">
              <w:rPr>
                <w:rFonts w:ascii="Times New Roman" w:eastAsia="Times New Roman" w:hAnsi="Times New Roman" w:cs="Times New Roman"/>
                <w:color w:val="000000"/>
                <w:sz w:val="16"/>
                <w:szCs w:val="16"/>
              </w:rPr>
              <w:t xml:space="preserve"> pentru participarea la conferinţe şi mobilităţi ştiinţifice.</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13. Baza de date actualizată sistematic, referitoare la </w:t>
            </w:r>
            <w:r w:rsidRPr="004247E3">
              <w:rPr>
                <w:rFonts w:ascii="Times New Roman" w:eastAsia="Times New Roman" w:hAnsi="Times New Roman" w:cs="Times New Roman"/>
                <w:color w:val="000000"/>
                <w:sz w:val="16"/>
                <w:szCs w:val="16"/>
              </w:rPr>
              <w:lastRenderedPageBreak/>
              <w:t>asigurarea internă a calităţii</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lastRenderedPageBreak/>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Există bază de date actualizată sistematic, referitoare la asigurarea internă a calităţii.</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lastRenderedPageBreak/>
              <w:t xml:space="preserve">- Numărul lipsurilor şi iregularităţilor în actualizarea bazei de date referitoare la parcursul curricular al studenţilor-doctoranzi şi </w:t>
            </w:r>
            <w:proofErr w:type="gramStart"/>
            <w:r w:rsidRPr="004247E3">
              <w:rPr>
                <w:rFonts w:ascii="Times New Roman" w:eastAsia="Times New Roman" w:hAnsi="Times New Roman" w:cs="Times New Roman"/>
                <w:color w:val="000000"/>
                <w:sz w:val="16"/>
                <w:szCs w:val="16"/>
              </w:rPr>
              <w:t>a</w:t>
            </w:r>
            <w:proofErr w:type="gramEnd"/>
            <w:r w:rsidRPr="004247E3">
              <w:rPr>
                <w:rFonts w:ascii="Times New Roman" w:eastAsia="Times New Roman" w:hAnsi="Times New Roman" w:cs="Times New Roman"/>
                <w:color w:val="000000"/>
                <w:sz w:val="16"/>
                <w:szCs w:val="16"/>
              </w:rPr>
              <w:t xml:space="preserve"> altor mecanisme de asigurare internă a calităţii este 0.</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Există proceduri de control extern al funcţionării şi actualizării bazei de date referitoare la asigurarea internă a calităţii.</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lastRenderedPageBreak/>
              <w:t>Completitudinea şi actualitatea bazei dedate referitoare la parcursul academic al studenţilor-doctoranzi şi la alte mecanisme de asigurare internă a calităţii</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14. Transparenţa informaţiilor de interes public</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Publicarea pe website, în limba română şi într-o limbă de circulaţie internaţională, a tuturor categoriilor de informaţii enumerate în indicator</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Actualizarea anuală a prezentării programelor doctorale în platforma Study in Romania</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Existenţa unei monitorizări periodice a traficului pe pagina web a şcolii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Există mecanisme de control al asigurării transparenţei informaţiilor de interes public.</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Publicarea pe website, în limba română şi o limbă de circulaţie internaţională, a următoarelor informaţii:</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a) regulamentul şcolii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b) regulamentul de admitere;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c) informaţii privind modul de organizare şi desfăşurare a programelor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d) informaţii privind conţinutul programelor de studii universitare de doctorat;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e) informaţii privind modul de finanţare a studiilor, precum şi a costurilor suportate de studentul-doctorand;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f) modelul contractului-cadru de studii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g) informaţii privind conducătorii de doctorat</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(CV-urile şi lista contribuţiilor ştiinţifice), lista studenţilor doctoranzi pe care îi coordonează, menţionând anul înmatriculării, respectiv lista studenţilor doctoranzi pe care i-au coordonat în trecut, alături de titlurile tezelor şi modul de finalizare a studiilor;</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h) informaţii privind membrii comisiilor de îndrumare a doctoranzilor;</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i) informaţii privind tezele de doctorat, respectiv standarde de elaborare, proceduri şi criterii de evaluare a acestora;</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j) informaţii privind doctoratul european şi doctoratul în cotutelă;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k) rezumatele tezelor de doctorat ce urmează să fie susţinute public, precum şi data, ora şi locaţia aferente susţinerilor publice, cu cel puţin 20 de zile înaintea susţinerii acestora;</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l) </w:t>
            </w:r>
            <w:proofErr w:type="gramStart"/>
            <w:r w:rsidRPr="004247E3">
              <w:rPr>
                <w:rFonts w:ascii="Times New Roman" w:eastAsia="Times New Roman" w:hAnsi="Times New Roman" w:cs="Times New Roman"/>
                <w:color w:val="000000"/>
                <w:sz w:val="16"/>
                <w:szCs w:val="16"/>
              </w:rPr>
              <w:t>adresele</w:t>
            </w:r>
            <w:proofErr w:type="gramEnd"/>
            <w:r w:rsidRPr="004247E3">
              <w:rPr>
                <w:rFonts w:ascii="Times New Roman" w:eastAsia="Times New Roman" w:hAnsi="Times New Roman" w:cs="Times New Roman"/>
                <w:color w:val="000000"/>
                <w:sz w:val="16"/>
                <w:szCs w:val="16"/>
              </w:rPr>
              <w:t xml:space="preserve"> electronice la care pot fi accesate tezele de doctorat susţinute public, în conformitate cu prevederile art. 66 din Codul studiilor universitare de doctorat, aprobat prin Hotărârea Guvernului nr.</w:t>
            </w:r>
            <w:r w:rsidRPr="004247E3">
              <w:rPr>
                <w:rFonts w:ascii="Times New Roman" w:eastAsia="Times New Roman" w:hAnsi="Times New Roman" w:cs="Times New Roman"/>
                <w:color w:val="000000"/>
                <w:sz w:val="16"/>
              </w:rPr>
              <w:t> </w:t>
            </w:r>
            <w:hyperlink r:id="rId4" w:history="1">
              <w:r w:rsidRPr="004247E3">
                <w:rPr>
                  <w:rFonts w:ascii="Times New Roman" w:eastAsia="Times New Roman" w:hAnsi="Times New Roman" w:cs="Times New Roman"/>
                  <w:b/>
                  <w:bCs/>
                  <w:color w:val="333399"/>
                  <w:sz w:val="16"/>
                  <w:u w:val="single"/>
                </w:rPr>
                <w:t>681/2011</w:t>
              </w:r>
            </w:hyperlink>
            <w:r w:rsidRPr="004247E3">
              <w:rPr>
                <w:rFonts w:ascii="Times New Roman" w:eastAsia="Times New Roman" w:hAnsi="Times New Roman" w:cs="Times New Roman"/>
                <w:color w:val="000000"/>
                <w:sz w:val="16"/>
                <w:szCs w:val="16"/>
              </w:rPr>
              <w:t>, cu modificările şi completările ulterioare. Actualizarea prezentării programelor doctorale în platforma Study in Romania.</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15. Funcţionalitatea structurilor de asigurare a calităţi educaţiei, conform legii</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Activitatea şcolii doctorale este reflectată în rapoartele de calitate de la nivelul facultăţilor sau, după caz, al universităţii. </w:t>
            </w:r>
            <w:proofErr w:type="gramStart"/>
            <w:r w:rsidRPr="004247E3">
              <w:rPr>
                <w:rFonts w:ascii="Times New Roman" w:eastAsia="Times New Roman" w:hAnsi="Times New Roman" w:cs="Times New Roman"/>
                <w:color w:val="000000"/>
                <w:sz w:val="16"/>
                <w:szCs w:val="16"/>
              </w:rPr>
              <w:t>în</w:t>
            </w:r>
            <w:proofErr w:type="gramEnd"/>
            <w:r w:rsidRPr="004247E3">
              <w:rPr>
                <w:rFonts w:ascii="Times New Roman" w:eastAsia="Times New Roman" w:hAnsi="Times New Roman" w:cs="Times New Roman"/>
                <w:color w:val="000000"/>
                <w:sz w:val="16"/>
                <w:szCs w:val="16"/>
              </w:rPr>
              <w:t xml:space="preserve"> cadrul acestor rapoarte sunt documentate şi mecanismele de soluţionare a situaţiilor excepţionale, inclusiv a cazurilor de încălcare a eticii universitare.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Existenţa şi aplicarea unei metodologii de evaluare internă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 Există rapoarte periodice de autoevaluare </w:t>
            </w:r>
            <w:proofErr w:type="gramStart"/>
            <w:r w:rsidRPr="004247E3">
              <w:rPr>
                <w:rFonts w:ascii="Times New Roman" w:eastAsia="Times New Roman" w:hAnsi="Times New Roman" w:cs="Times New Roman"/>
                <w:color w:val="000000"/>
                <w:sz w:val="16"/>
                <w:szCs w:val="16"/>
              </w:rPr>
              <w:t>a</w:t>
            </w:r>
            <w:proofErr w:type="gramEnd"/>
            <w:r w:rsidRPr="004247E3">
              <w:rPr>
                <w:rFonts w:ascii="Times New Roman" w:eastAsia="Times New Roman" w:hAnsi="Times New Roman" w:cs="Times New Roman"/>
                <w:color w:val="000000"/>
                <w:sz w:val="16"/>
                <w:szCs w:val="16"/>
              </w:rPr>
              <w:t xml:space="preserve"> activităţii şcolii doctorale.</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Există mecanisme de evaluare şi control privind asigurarea funcţionalităţii structurilor de asigurare a calităţii educaţiei, conform legii.</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Reflectarea activităţii şcolii doctorale în rapoartele de calitate de la nivelul facultăţilor sau, după caz, al universităţii</w:t>
            </w:r>
          </w:p>
        </w:tc>
      </w:tr>
      <w:tr w:rsidR="004247E3" w:rsidRPr="004247E3" w:rsidTr="004247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16. Acurateţea raportărilor prevăzute de legislaţia în </w:t>
            </w:r>
            <w:r w:rsidRPr="004247E3">
              <w:rPr>
                <w:rFonts w:ascii="Times New Roman" w:eastAsia="Times New Roman" w:hAnsi="Times New Roman" w:cs="Times New Roman"/>
                <w:color w:val="000000"/>
                <w:sz w:val="16"/>
                <w:szCs w:val="16"/>
              </w:rPr>
              <w:lastRenderedPageBreak/>
              <w:t>vigoare</w:t>
            </w:r>
          </w:p>
        </w:tc>
        <w:tc>
          <w:tcPr>
            <w:tcW w:w="17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lastRenderedPageBreak/>
              <w:t>Standard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Toţi studenţii-doctoranzi sunt înscrişi în Registrul matricol unic.</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xml:space="preserve">- Raportările referitoare la şcoala doctorală </w:t>
            </w:r>
            <w:r w:rsidRPr="004247E3">
              <w:rPr>
                <w:rFonts w:ascii="Times New Roman" w:eastAsia="Times New Roman" w:hAnsi="Times New Roman" w:cs="Times New Roman"/>
                <w:color w:val="000000"/>
                <w:sz w:val="16"/>
                <w:szCs w:val="16"/>
              </w:rPr>
              <w:lastRenderedPageBreak/>
              <w:t>sunt încărcate pe Platforma naţională de colectare a datelor statistice pentru învăţământul superior (Platforma ANS) cu exactitate şi la termenele stabilite la nivel naţional.</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Standard de referinţă</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 Actualizarea periodică a informaţiilor referitoare la studenţii-doctoranzi înscrişi în Registrul matricol unic</w:t>
            </w:r>
          </w:p>
        </w:tc>
        <w:tc>
          <w:tcPr>
            <w:tcW w:w="180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lastRenderedPageBreak/>
              <w:t>Raportările prevăzute de legislaţia în vigoare cuprind:</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t>a) înscrierea studenţilor-doctoranzi în Registrul matricol unic;</w:t>
            </w:r>
          </w:p>
          <w:p w:rsidR="004247E3" w:rsidRPr="004247E3" w:rsidRDefault="004247E3" w:rsidP="004247E3">
            <w:pPr>
              <w:spacing w:after="0" w:line="240" w:lineRule="auto"/>
              <w:rPr>
                <w:rFonts w:ascii="Times New Roman" w:eastAsia="Times New Roman" w:hAnsi="Times New Roman" w:cs="Times New Roman"/>
                <w:color w:val="000000"/>
                <w:sz w:val="16"/>
                <w:szCs w:val="16"/>
              </w:rPr>
            </w:pPr>
            <w:r w:rsidRPr="004247E3">
              <w:rPr>
                <w:rFonts w:ascii="Times New Roman" w:eastAsia="Times New Roman" w:hAnsi="Times New Roman" w:cs="Times New Roman"/>
                <w:color w:val="000000"/>
                <w:sz w:val="16"/>
                <w:szCs w:val="16"/>
              </w:rPr>
              <w:lastRenderedPageBreak/>
              <w:t>b) raportările referitoare la şcoala doctorală în Platforma ANS.</w:t>
            </w:r>
          </w:p>
        </w:tc>
      </w:tr>
    </w:tbl>
    <w:p w:rsidR="002D334F" w:rsidRDefault="002D334F"/>
    <w:sectPr w:rsidR="002D334F" w:rsidSect="002D33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4247E3"/>
    <w:rsid w:val="001D2D9C"/>
    <w:rsid w:val="00287871"/>
    <w:rsid w:val="002D334F"/>
    <w:rsid w:val="00424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
    <w:name w:val="ax"/>
    <w:basedOn w:val="DefaultParagraphFont"/>
    <w:rsid w:val="004247E3"/>
  </w:style>
  <w:style w:type="character" w:customStyle="1" w:styleId="apple-converted-space">
    <w:name w:val="apple-converted-space"/>
    <w:basedOn w:val="DefaultParagraphFont"/>
    <w:rsid w:val="004247E3"/>
  </w:style>
  <w:style w:type="character" w:customStyle="1" w:styleId="tax">
    <w:name w:val="tax"/>
    <w:basedOn w:val="DefaultParagraphFont"/>
    <w:rsid w:val="004247E3"/>
  </w:style>
  <w:style w:type="character" w:styleId="Hyperlink">
    <w:name w:val="Hyperlink"/>
    <w:basedOn w:val="DefaultParagraphFont"/>
    <w:uiPriority w:val="99"/>
    <w:semiHidden/>
    <w:unhideWhenUsed/>
    <w:rsid w:val="004247E3"/>
    <w:rPr>
      <w:color w:val="0000FF"/>
      <w:u w:val="single"/>
    </w:rPr>
  </w:style>
  <w:style w:type="paragraph" w:styleId="NormalWeb">
    <w:name w:val="Normal (Web)"/>
    <w:basedOn w:val="Normal"/>
    <w:uiPriority w:val="99"/>
    <w:unhideWhenUsed/>
    <w:rsid w:val="00424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837052">
      <w:bodyDiv w:val="1"/>
      <w:marLeft w:val="0"/>
      <w:marRight w:val="0"/>
      <w:marTop w:val="0"/>
      <w:marBottom w:val="0"/>
      <w:divBdr>
        <w:top w:val="none" w:sz="0" w:space="0" w:color="auto"/>
        <w:left w:val="none" w:sz="0" w:space="0" w:color="auto"/>
        <w:bottom w:val="none" w:sz="0" w:space="0" w:color="auto"/>
        <w:right w:val="none" w:sz="0" w:space="0" w:color="auto"/>
      </w:divBdr>
      <w:divsChild>
        <w:div w:id="373505369">
          <w:marLeft w:val="0"/>
          <w:marRight w:val="0"/>
          <w:marTop w:val="0"/>
          <w:marBottom w:val="0"/>
          <w:divBdr>
            <w:top w:val="dashed" w:sz="2" w:space="0" w:color="FFFFFF"/>
            <w:left w:val="dashed" w:sz="2" w:space="0" w:color="FFFFFF"/>
            <w:bottom w:val="dashed" w:sz="2" w:space="0" w:color="FFFFFF"/>
            <w:right w:val="dashed" w:sz="2" w:space="0" w:color="FFFFFF"/>
          </w:divBdr>
        </w:div>
        <w:div w:id="1791708502">
          <w:marLeft w:val="0"/>
          <w:marRight w:val="0"/>
          <w:marTop w:val="0"/>
          <w:marBottom w:val="0"/>
          <w:divBdr>
            <w:top w:val="dashed" w:sz="2" w:space="0" w:color="FFFFFF"/>
            <w:left w:val="dashed" w:sz="2" w:space="0" w:color="FFFFFF"/>
            <w:bottom w:val="dashed" w:sz="2" w:space="0" w:color="FFFFFF"/>
            <w:right w:val="dashed" w:sz="2" w:space="0" w:color="FFFFFF"/>
          </w:divBdr>
          <w:divsChild>
            <w:div w:id="368838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drept.ro/001418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3925</Words>
  <Characters>22373</Characters>
  <Application>Microsoft Office Word</Application>
  <DocSecurity>0</DocSecurity>
  <Lines>186</Lines>
  <Paragraphs>52</Paragraphs>
  <ScaleCrop>false</ScaleCrop>
  <Company/>
  <LinksUpToDate>false</LinksUpToDate>
  <CharactersWithSpaces>26246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1</cp:revision>
  <dcterms:created xsi:type="dcterms:W3CDTF">2017-01-06T17:02:00Z</dcterms:created>
  <dcterms:modified xsi:type="dcterms:W3CDTF">2017-01-06T17:03:00Z</dcterms:modified>
</cp:coreProperties>
</file>